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4" w:type="dxa"/>
        <w:jc w:val="center"/>
        <w:shd w:val="clear" w:color="auto" w:fill="FFFFFF"/>
        <w:tblCellMar>
          <w:left w:w="0" w:type="dxa"/>
          <w:right w:w="0" w:type="dxa"/>
        </w:tblCellMar>
        <w:tblLook w:val="04A0" w:firstRow="1" w:lastRow="0" w:firstColumn="1" w:lastColumn="0" w:noHBand="0" w:noVBand="1"/>
      </w:tblPr>
      <w:tblGrid>
        <w:gridCol w:w="9030"/>
      </w:tblGrid>
      <w:tr w:rsidR="00EB3C2B" w:rsidTr="00EB3C2B">
        <w:trPr>
          <w:jc w:val="center"/>
        </w:trPr>
        <w:tc>
          <w:tcPr>
            <w:tcW w:w="0" w:type="auto"/>
            <w:shd w:val="clear" w:color="auto" w:fill="FFFFFF"/>
            <w:tcMar>
              <w:top w:w="300" w:type="dxa"/>
              <w:left w:w="300" w:type="dxa"/>
              <w:bottom w:w="0" w:type="dxa"/>
              <w:right w:w="300" w:type="dxa"/>
            </w:tcMar>
            <w:vAlign w:val="center"/>
            <w:hideMark/>
          </w:tcPr>
          <w:tbl>
            <w:tblPr>
              <w:tblW w:w="8328" w:type="dxa"/>
              <w:tblCellSpacing w:w="0" w:type="dxa"/>
              <w:tblCellMar>
                <w:left w:w="0" w:type="dxa"/>
                <w:right w:w="0" w:type="dxa"/>
              </w:tblCellMar>
              <w:tblLook w:val="04A0" w:firstRow="1" w:lastRow="0" w:firstColumn="1" w:lastColumn="0" w:noHBand="0" w:noVBand="1"/>
            </w:tblPr>
            <w:tblGrid>
              <w:gridCol w:w="8430"/>
            </w:tblGrid>
            <w:tr w:rsidR="00EB3C2B">
              <w:trPr>
                <w:trHeight w:val="2241"/>
                <w:tblCellSpacing w:w="0" w:type="dxa"/>
              </w:trPr>
              <w:tc>
                <w:tcPr>
                  <w:tcW w:w="8328" w:type="dxa"/>
                </w:tcPr>
                <w:p w:rsidR="00EB3C2B" w:rsidRDefault="00EB3C2B">
                  <w:pPr>
                    <w:rPr>
                      <w:rFonts w:ascii="Times New Roman" w:hAnsi="Times New Roman" w:cs="Times New Roman"/>
                      <w:sz w:val="20"/>
                      <w:szCs w:val="20"/>
                      <w:lang w:eastAsia="es-ES"/>
                    </w:rPr>
                  </w:pPr>
                </w:p>
                <w:p w:rsidR="00EB3C2B" w:rsidRDefault="00EB3C2B">
                  <w:pPr>
                    <w:jc w:val="center"/>
                    <w:rPr>
                      <w:rFonts w:ascii="Times New Roman" w:hAnsi="Times New Roman" w:cs="Times New Roman"/>
                      <w:sz w:val="20"/>
                      <w:szCs w:val="20"/>
                      <w:lang w:eastAsia="es-ES"/>
                    </w:rPr>
                  </w:pPr>
                  <w:r>
                    <w:rPr>
                      <w:rFonts w:ascii="Times New Roman" w:hAnsi="Times New Roman" w:cs="Times New Roman"/>
                      <w:noProof/>
                      <w:sz w:val="20"/>
                      <w:szCs w:val="20"/>
                      <w:lang w:eastAsia="es-ES"/>
                    </w:rPr>
                    <w:drawing>
                      <wp:inline distT="0" distB="0" distL="0" distR="0">
                        <wp:extent cx="5353050" cy="1098550"/>
                        <wp:effectExtent l="0" t="0" r="0" b="6350"/>
                        <wp:docPr id="1" name="Imagen 1" descr="Imagen que contiene refriger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refrigerador&#10;&#10;Descripción generada automáticament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53050" cy="1098550"/>
                                </a:xfrm>
                                <a:prstGeom prst="rect">
                                  <a:avLst/>
                                </a:prstGeom>
                                <a:noFill/>
                                <a:ln>
                                  <a:noFill/>
                                </a:ln>
                              </pic:spPr>
                            </pic:pic>
                          </a:graphicData>
                        </a:graphic>
                      </wp:inline>
                    </w:drawing>
                  </w:r>
                </w:p>
                <w:p w:rsidR="00EB3C2B" w:rsidRDefault="00EB3C2B">
                  <w:pPr>
                    <w:rPr>
                      <w:rFonts w:ascii="Times New Roman" w:hAnsi="Times New Roman" w:cs="Times New Roman"/>
                      <w:sz w:val="20"/>
                      <w:szCs w:val="20"/>
                      <w:lang w:eastAsia="es-ES"/>
                    </w:rPr>
                  </w:pPr>
                </w:p>
              </w:tc>
            </w:tr>
          </w:tbl>
          <w:p w:rsidR="00EB3C2B" w:rsidRDefault="00EB3C2B">
            <w:pPr>
              <w:rPr>
                <w:rFonts w:ascii="Times New Roman" w:eastAsia="Times New Roman" w:hAnsi="Times New Roman" w:cs="Times New Roman"/>
                <w:sz w:val="20"/>
                <w:szCs w:val="20"/>
                <w:lang w:eastAsia="es-ES"/>
              </w:rPr>
            </w:pPr>
          </w:p>
        </w:tc>
      </w:tr>
      <w:tr w:rsidR="00EB3C2B" w:rsidTr="00EB3C2B">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30"/>
            </w:tblGrid>
            <w:tr w:rsidR="00EB3C2B">
              <w:tc>
                <w:tcPr>
                  <w:tcW w:w="8400" w:type="dxa"/>
                  <w:vAlign w:val="center"/>
                  <w:hideMark/>
                </w:tcPr>
                <w:tbl>
                  <w:tblPr>
                    <w:tblW w:w="5000" w:type="pct"/>
                    <w:tblCellMar>
                      <w:left w:w="0" w:type="dxa"/>
                      <w:right w:w="0" w:type="dxa"/>
                    </w:tblCellMar>
                    <w:tblLook w:val="04A0" w:firstRow="1" w:lastRow="0" w:firstColumn="1" w:lastColumn="0" w:noHBand="0" w:noVBand="1"/>
                  </w:tblPr>
                  <w:tblGrid>
                    <w:gridCol w:w="8430"/>
                  </w:tblGrid>
                  <w:tr w:rsidR="00EB3C2B">
                    <w:tc>
                      <w:tcPr>
                        <w:tcW w:w="0" w:type="auto"/>
                        <w:vAlign w:val="center"/>
                        <w:hideMark/>
                      </w:tcPr>
                      <w:p w:rsidR="00EB3C2B" w:rsidRDefault="00EB3C2B">
                        <w:pPr>
                          <w:shd w:val="clear" w:color="auto" w:fill="FFFFFF"/>
                          <w:spacing w:line="360" w:lineRule="atLeast"/>
                          <w:jc w:val="both"/>
                          <w:textAlignment w:val="baseline"/>
                          <w:rPr>
                            <w:rFonts w:ascii="Arial" w:hAnsi="Arial" w:cs="Arial"/>
                            <w:color w:val="333333"/>
                            <w:sz w:val="29"/>
                            <w:szCs w:val="29"/>
                            <w:lang w:eastAsia="es-ES"/>
                          </w:rPr>
                        </w:pPr>
                        <w:r>
                          <w:rPr>
                            <w:rFonts w:ascii="Arial" w:hAnsi="Arial" w:cs="Arial"/>
                            <w:color w:val="558ED5"/>
                            <w:sz w:val="29"/>
                            <w:szCs w:val="29"/>
                          </w:rPr>
                          <w:t>El Boletín Oficial del Estado publica hoy la Oferta de Empleo Público para 2022</w:t>
                        </w:r>
                      </w:p>
                    </w:tc>
                  </w:tr>
                  <w:tr w:rsidR="00EB3C2B">
                    <w:tc>
                      <w:tcPr>
                        <w:tcW w:w="0" w:type="auto"/>
                        <w:tcMar>
                          <w:top w:w="0" w:type="dxa"/>
                          <w:left w:w="0" w:type="dxa"/>
                          <w:bottom w:w="150" w:type="dxa"/>
                          <w:right w:w="0" w:type="dxa"/>
                        </w:tcMar>
                        <w:vAlign w:val="center"/>
                      </w:tcPr>
                      <w:p w:rsidR="00EB3C2B" w:rsidRDefault="00EB3C2B">
                        <w:pPr>
                          <w:spacing w:line="315" w:lineRule="exact"/>
                          <w:jc w:val="both"/>
                          <w:rPr>
                            <w:rFonts w:ascii="Arial" w:hAnsi="Arial" w:cs="Arial"/>
                            <w:color w:val="333333"/>
                            <w:sz w:val="21"/>
                            <w:szCs w:val="21"/>
                            <w:lang w:eastAsia="es-ES"/>
                          </w:rPr>
                        </w:pPr>
                        <w:r>
                          <w:rPr>
                            <w:rFonts w:ascii="Arial" w:hAnsi="Arial" w:cs="Arial"/>
                            <w:color w:val="333333"/>
                            <w:sz w:val="21"/>
                            <w:szCs w:val="21"/>
                            <w:lang w:eastAsia="es-ES"/>
                          </w:rPr>
                          <w:t xml:space="preserve">Tras la aprobación por el Consejo de Ministros en su reunión de 24 de mayo, el Boletín Oficial del Estado publica hoy la Oferta de Empleo Público (OEP)  para este 2022. </w:t>
                        </w:r>
                        <w:hyperlink r:id="rId8" w:history="1">
                          <w:r>
                            <w:rPr>
                              <w:rStyle w:val="Hipervnculo"/>
                              <w:rFonts w:ascii="Arial" w:hAnsi="Arial" w:cs="Arial"/>
                              <w:sz w:val="21"/>
                              <w:szCs w:val="21"/>
                              <w:lang w:eastAsia="es-ES"/>
                            </w:rPr>
                            <w:t>Accede al texto del BOE.</w:t>
                          </w:r>
                        </w:hyperlink>
                        <w:r>
                          <w:rPr>
                            <w:rFonts w:ascii="Arial" w:hAnsi="Arial" w:cs="Arial"/>
                            <w:color w:val="333333"/>
                            <w:sz w:val="21"/>
                            <w:szCs w:val="21"/>
                            <w:lang w:eastAsia="es-ES"/>
                          </w:rPr>
                          <w:t xml:space="preserve"> </w:t>
                        </w:r>
                      </w:p>
                      <w:p w:rsidR="00EB3C2B" w:rsidRDefault="00EB3C2B">
                        <w:pPr>
                          <w:spacing w:line="315" w:lineRule="exact"/>
                          <w:jc w:val="both"/>
                          <w:rPr>
                            <w:rFonts w:ascii="Arial" w:hAnsi="Arial" w:cs="Arial"/>
                            <w:color w:val="333333"/>
                            <w:sz w:val="21"/>
                            <w:szCs w:val="21"/>
                            <w:lang w:eastAsia="es-ES"/>
                          </w:rPr>
                        </w:pPr>
                      </w:p>
                      <w:p w:rsidR="00EB3C2B" w:rsidRDefault="00EB3C2B">
                        <w:pPr>
                          <w:spacing w:line="315" w:lineRule="exact"/>
                          <w:jc w:val="both"/>
                          <w:rPr>
                            <w:rFonts w:ascii="Arial" w:hAnsi="Arial" w:cs="Arial"/>
                            <w:color w:val="333333"/>
                            <w:sz w:val="21"/>
                            <w:szCs w:val="21"/>
                            <w:lang w:eastAsia="es-ES"/>
                          </w:rPr>
                        </w:pPr>
                        <w:r>
                          <w:rPr>
                            <w:rFonts w:ascii="Arial" w:hAnsi="Arial" w:cs="Arial"/>
                            <w:color w:val="333333"/>
                            <w:sz w:val="21"/>
                            <w:szCs w:val="21"/>
                            <w:lang w:eastAsia="es-ES"/>
                          </w:rPr>
                          <w:t xml:space="preserve">Esta Oferta ha sido objeto de negociación con las organizaciones sindicales en la Comisión Técnica de Temporalidad y en la Mesa de Negociación de la Administración General del Estado, en la que se alcanzó un acuerdo el día 23 de mayo.  </w:t>
                        </w:r>
                        <w:hyperlink r:id="rId9" w:anchor="page=1" w:history="1">
                          <w:r>
                            <w:rPr>
                              <w:rStyle w:val="Hipervnculo"/>
                              <w:rFonts w:ascii="Arial" w:hAnsi="Arial" w:cs="Arial"/>
                              <w:sz w:val="21"/>
                              <w:szCs w:val="21"/>
                              <w:lang w:eastAsia="es-ES"/>
                            </w:rPr>
                            <w:t>Consulta el Acuerdo alcanzado con las organizaciones sindicales.</w:t>
                          </w:r>
                        </w:hyperlink>
                        <w:r>
                          <w:rPr>
                            <w:rFonts w:ascii="Arial" w:hAnsi="Arial" w:cs="Arial"/>
                            <w:color w:val="333333"/>
                            <w:sz w:val="21"/>
                            <w:szCs w:val="21"/>
                            <w:highlight w:val="yellow"/>
                            <w:lang w:eastAsia="es-ES"/>
                          </w:rPr>
                          <w:t xml:space="preserve"> </w:t>
                        </w:r>
                      </w:p>
                      <w:p w:rsidR="00EB3C2B" w:rsidRDefault="00EB3C2B">
                        <w:pPr>
                          <w:spacing w:line="315" w:lineRule="exact"/>
                          <w:jc w:val="both"/>
                          <w:rPr>
                            <w:rFonts w:ascii="Arial" w:hAnsi="Arial" w:cs="Arial"/>
                            <w:color w:val="333333"/>
                            <w:sz w:val="21"/>
                            <w:szCs w:val="21"/>
                            <w:lang w:eastAsia="es-ES"/>
                          </w:rPr>
                        </w:pPr>
                      </w:p>
                      <w:p w:rsidR="00EB3C2B" w:rsidRDefault="00EB3C2B">
                        <w:pPr>
                          <w:spacing w:line="315" w:lineRule="exact"/>
                          <w:jc w:val="both"/>
                          <w:rPr>
                            <w:rFonts w:ascii="Arial" w:hAnsi="Arial" w:cs="Arial"/>
                            <w:color w:val="333333"/>
                            <w:sz w:val="21"/>
                            <w:szCs w:val="21"/>
                            <w:lang w:eastAsia="es-ES"/>
                          </w:rPr>
                        </w:pPr>
                        <w:r>
                          <w:rPr>
                            <w:rFonts w:ascii="Arial" w:hAnsi="Arial" w:cs="Arial"/>
                            <w:color w:val="333333"/>
                            <w:sz w:val="21"/>
                            <w:szCs w:val="21"/>
                            <w:lang w:eastAsia="es-ES"/>
                          </w:rPr>
                          <w:t>La Oferta alcanza un total de 44.787 plazas, que se refieren tanto a la Oferta de Empleo Público ordinaria, como la Oferta de Empleo Público de estabilización de empleo temporal</w:t>
                        </w:r>
                      </w:p>
                      <w:p w:rsidR="00EB3C2B" w:rsidRDefault="00EB3C2B">
                        <w:pPr>
                          <w:spacing w:line="315" w:lineRule="exact"/>
                          <w:rPr>
                            <w:rFonts w:ascii="Arial" w:hAnsi="Arial" w:cs="Arial"/>
                            <w:color w:val="333333"/>
                            <w:sz w:val="21"/>
                            <w:szCs w:val="21"/>
                            <w:lang w:eastAsia="es-ES"/>
                          </w:rPr>
                        </w:pPr>
                      </w:p>
                      <w:p w:rsidR="00EB3C2B" w:rsidRDefault="00EB3C2B">
                        <w:pPr>
                          <w:spacing w:line="315" w:lineRule="exact"/>
                          <w:rPr>
                            <w:rFonts w:ascii="Arial" w:hAnsi="Arial" w:cs="Arial"/>
                            <w:color w:val="558ED5"/>
                            <w:sz w:val="29"/>
                            <w:szCs w:val="29"/>
                          </w:rPr>
                        </w:pPr>
                        <w:r>
                          <w:rPr>
                            <w:rFonts w:ascii="Arial" w:hAnsi="Arial" w:cs="Arial"/>
                            <w:color w:val="558ED5"/>
                            <w:sz w:val="29"/>
                            <w:szCs w:val="29"/>
                          </w:rPr>
                          <w:t>La Oferta de Empleo 2022, en cifras</w:t>
                        </w:r>
                      </w:p>
                      <w:p w:rsidR="00EB3C2B" w:rsidRDefault="00EB3C2B">
                        <w:pPr>
                          <w:spacing w:line="315" w:lineRule="exact"/>
                          <w:jc w:val="both"/>
                          <w:rPr>
                            <w:rFonts w:ascii="Arial" w:hAnsi="Arial" w:cs="Arial"/>
                            <w:color w:val="333333"/>
                            <w:sz w:val="21"/>
                            <w:szCs w:val="21"/>
                            <w:lang w:eastAsia="es-ES"/>
                          </w:rPr>
                        </w:pPr>
                        <w:r>
                          <w:rPr>
                            <w:rFonts w:ascii="Arial" w:hAnsi="Arial" w:cs="Arial"/>
                            <w:color w:val="333333"/>
                            <w:sz w:val="21"/>
                            <w:szCs w:val="21"/>
                            <w:lang w:eastAsia="es-ES"/>
                          </w:rPr>
                          <w:t>La Oferta de Empleo Público ordinaria para el año 2022, alcanza un total de 34.151 plazas, lo que supone un incremento de un 12,17% respecto a la OEP de 2021.</w:t>
                        </w:r>
                      </w:p>
                      <w:p w:rsidR="00EB3C2B" w:rsidRDefault="00EB3C2B">
                        <w:pPr>
                          <w:spacing w:line="315" w:lineRule="exact"/>
                          <w:rPr>
                            <w:rFonts w:ascii="Arial" w:hAnsi="Arial" w:cs="Arial"/>
                            <w:color w:val="333333"/>
                            <w:sz w:val="21"/>
                            <w:szCs w:val="21"/>
                            <w:lang w:eastAsia="es-ES"/>
                          </w:rPr>
                        </w:pPr>
                      </w:p>
                      <w:p w:rsidR="00EB3C2B" w:rsidRDefault="00EB3C2B">
                        <w:pPr>
                          <w:spacing w:line="315" w:lineRule="exact"/>
                          <w:rPr>
                            <w:rFonts w:ascii="Arial" w:hAnsi="Arial" w:cs="Arial"/>
                            <w:color w:val="333333"/>
                            <w:sz w:val="21"/>
                            <w:szCs w:val="21"/>
                            <w:lang w:eastAsia="es-ES"/>
                          </w:rPr>
                        </w:pPr>
                        <w:r>
                          <w:rPr>
                            <w:rFonts w:ascii="Arial" w:hAnsi="Arial" w:cs="Arial"/>
                            <w:color w:val="333333"/>
                            <w:sz w:val="21"/>
                            <w:szCs w:val="21"/>
                            <w:lang w:eastAsia="es-ES"/>
                          </w:rPr>
                          <w:t xml:space="preserve">Esta Oferta de Empleo Público ordinaria incluye las siguientes plazas: </w:t>
                        </w:r>
                      </w:p>
                      <w:p w:rsidR="00EB3C2B" w:rsidRDefault="00EB3C2B">
                        <w:pPr>
                          <w:spacing w:line="315" w:lineRule="exact"/>
                          <w:rPr>
                            <w:rFonts w:ascii="Arial" w:hAnsi="Arial" w:cs="Arial"/>
                            <w:color w:val="333333"/>
                            <w:sz w:val="21"/>
                            <w:szCs w:val="21"/>
                            <w:lang w:eastAsia="es-ES"/>
                          </w:rPr>
                        </w:pPr>
                      </w:p>
                      <w:p w:rsidR="00EB3C2B" w:rsidRDefault="00EB3C2B" w:rsidP="00487EA9">
                        <w:pPr>
                          <w:pStyle w:val="Prrafodelista"/>
                          <w:numPr>
                            <w:ilvl w:val="0"/>
                            <w:numId w:val="1"/>
                          </w:numPr>
                          <w:spacing w:line="315" w:lineRule="exact"/>
                          <w:jc w:val="both"/>
                          <w:rPr>
                            <w:rFonts w:ascii="Arial" w:hAnsi="Arial" w:cs="Arial"/>
                            <w:color w:val="333333"/>
                            <w:sz w:val="21"/>
                            <w:szCs w:val="21"/>
                            <w:lang w:eastAsia="es-ES"/>
                          </w:rPr>
                        </w:pPr>
                        <w:r>
                          <w:rPr>
                            <w:lang w:eastAsia="es-ES"/>
                          </w:rPr>
                          <w:t xml:space="preserve">Administración del Estado: 24.208 plazas de las que 14.950 son de ingreso libre y 9.258 plazas corresponden a la promoción interna. </w:t>
                        </w:r>
                      </w:p>
                      <w:p w:rsidR="00EB3C2B" w:rsidRDefault="00EB3C2B">
                        <w:pPr>
                          <w:pStyle w:val="Prrafodelista"/>
                          <w:spacing w:line="315" w:lineRule="exact"/>
                          <w:jc w:val="both"/>
                          <w:rPr>
                            <w:rFonts w:ascii="Arial" w:hAnsi="Arial" w:cs="Arial"/>
                            <w:color w:val="333333"/>
                            <w:sz w:val="21"/>
                            <w:szCs w:val="21"/>
                            <w:lang w:eastAsia="es-ES"/>
                          </w:rPr>
                        </w:pPr>
                      </w:p>
                      <w:p w:rsidR="00EB3C2B" w:rsidRDefault="00EB3C2B" w:rsidP="00487EA9">
                        <w:pPr>
                          <w:pStyle w:val="Prrafodelista"/>
                          <w:numPr>
                            <w:ilvl w:val="0"/>
                            <w:numId w:val="2"/>
                          </w:numPr>
                          <w:spacing w:line="315" w:lineRule="exact"/>
                          <w:jc w:val="both"/>
                          <w:rPr>
                            <w:rFonts w:ascii="Arial" w:eastAsia="Times New Roman" w:hAnsi="Arial" w:cs="Arial"/>
                            <w:color w:val="333333"/>
                            <w:sz w:val="21"/>
                            <w:szCs w:val="21"/>
                            <w:lang w:eastAsia="es-ES"/>
                          </w:rPr>
                        </w:pPr>
                        <w:r>
                          <w:rPr>
                            <w:lang w:eastAsia="es-ES"/>
                          </w:rPr>
                          <w:t>Administración de Justicia: 1.732 plazas, 940 de nuevo ingreso y 792 de promoción interna.</w:t>
                        </w:r>
                      </w:p>
                      <w:p w:rsidR="00EB3C2B" w:rsidRDefault="00EB3C2B">
                        <w:pPr>
                          <w:spacing w:line="315" w:lineRule="exact"/>
                          <w:jc w:val="both"/>
                          <w:rPr>
                            <w:rFonts w:ascii="Arial" w:hAnsi="Arial" w:cs="Arial"/>
                            <w:color w:val="333333"/>
                            <w:sz w:val="21"/>
                            <w:szCs w:val="21"/>
                            <w:lang w:eastAsia="es-ES"/>
                          </w:rPr>
                        </w:pPr>
                      </w:p>
                      <w:p w:rsidR="00EB3C2B" w:rsidRDefault="00EB3C2B" w:rsidP="00487EA9">
                        <w:pPr>
                          <w:pStyle w:val="Prrafodelista"/>
                          <w:numPr>
                            <w:ilvl w:val="0"/>
                            <w:numId w:val="3"/>
                          </w:numPr>
                          <w:spacing w:line="315" w:lineRule="exact"/>
                          <w:jc w:val="both"/>
                          <w:rPr>
                            <w:rFonts w:ascii="Arial" w:hAnsi="Arial" w:cs="Arial"/>
                            <w:color w:val="333333"/>
                            <w:sz w:val="21"/>
                            <w:szCs w:val="21"/>
                            <w:lang w:eastAsia="es-ES"/>
                          </w:rPr>
                        </w:pPr>
                        <w:r>
                          <w:rPr>
                            <w:lang w:eastAsia="es-ES"/>
                          </w:rPr>
                          <w:t xml:space="preserve">Cuerpo Nacional de Policía: 2.906 plazas, de las que 2.606 son de ingreso libre y 300, de promoción interna. </w:t>
                        </w:r>
                        <w:hyperlink r:id="rId10" w:history="1">
                          <w:r>
                            <w:rPr>
                              <w:rStyle w:val="Hipervnculo"/>
                              <w:rFonts w:ascii="Arial" w:hAnsi="Arial" w:cs="Arial"/>
                              <w:sz w:val="21"/>
                              <w:szCs w:val="21"/>
                              <w:lang w:eastAsia="es-ES"/>
                            </w:rPr>
                            <w:t>Enlace al BOE</w:t>
                          </w:r>
                        </w:hyperlink>
                      </w:p>
                      <w:p w:rsidR="00EB3C2B" w:rsidRDefault="00EB3C2B">
                        <w:pPr>
                          <w:pStyle w:val="Prrafodelista"/>
                          <w:spacing w:line="315" w:lineRule="exact"/>
                          <w:jc w:val="both"/>
                          <w:rPr>
                            <w:rFonts w:ascii="Arial" w:hAnsi="Arial" w:cs="Arial"/>
                            <w:color w:val="333333"/>
                            <w:sz w:val="21"/>
                            <w:szCs w:val="21"/>
                            <w:lang w:eastAsia="es-ES"/>
                          </w:rPr>
                        </w:pPr>
                      </w:p>
                      <w:p w:rsidR="00EB3C2B" w:rsidRDefault="00EB3C2B" w:rsidP="00487EA9">
                        <w:pPr>
                          <w:pStyle w:val="Prrafodelista"/>
                          <w:numPr>
                            <w:ilvl w:val="0"/>
                            <w:numId w:val="4"/>
                          </w:numPr>
                          <w:spacing w:line="315" w:lineRule="exact"/>
                          <w:jc w:val="both"/>
                          <w:rPr>
                            <w:rFonts w:ascii="Arial" w:eastAsia="Times New Roman" w:hAnsi="Arial" w:cs="Arial"/>
                            <w:color w:val="333333"/>
                            <w:sz w:val="21"/>
                            <w:szCs w:val="21"/>
                            <w:lang w:eastAsia="es-ES"/>
                          </w:rPr>
                        </w:pPr>
                        <w:r>
                          <w:rPr>
                            <w:lang w:eastAsia="es-ES"/>
                          </w:rPr>
                          <w:t xml:space="preserve">Guardia Civil: 2.086 plazas, de las que 1.736 son de ingreso libre y 350 de promoción interna. </w:t>
                        </w:r>
                        <w:hyperlink r:id="rId11" w:history="1">
                          <w:r>
                            <w:rPr>
                              <w:rStyle w:val="Hipervnculo"/>
                              <w:rFonts w:ascii="Arial" w:hAnsi="Arial" w:cs="Arial"/>
                              <w:sz w:val="21"/>
                              <w:szCs w:val="21"/>
                              <w:lang w:eastAsia="es-ES"/>
                            </w:rPr>
                            <w:t>Enlace al BOE</w:t>
                          </w:r>
                        </w:hyperlink>
                      </w:p>
                      <w:p w:rsidR="00EB3C2B" w:rsidRDefault="00EB3C2B">
                        <w:pPr>
                          <w:pStyle w:val="Prrafodelista"/>
                          <w:spacing w:line="315" w:lineRule="exact"/>
                          <w:jc w:val="both"/>
                          <w:rPr>
                            <w:rFonts w:ascii="Arial" w:hAnsi="Arial" w:cs="Arial"/>
                            <w:color w:val="333333"/>
                            <w:sz w:val="21"/>
                            <w:szCs w:val="21"/>
                            <w:lang w:eastAsia="es-ES"/>
                          </w:rPr>
                        </w:pPr>
                      </w:p>
                      <w:p w:rsidR="00EB3C2B" w:rsidRDefault="00EB3C2B" w:rsidP="00487EA9">
                        <w:pPr>
                          <w:pStyle w:val="Prrafodelista"/>
                          <w:numPr>
                            <w:ilvl w:val="0"/>
                            <w:numId w:val="5"/>
                          </w:numPr>
                          <w:spacing w:line="315" w:lineRule="exact"/>
                          <w:jc w:val="both"/>
                          <w:rPr>
                            <w:rFonts w:ascii="Arial" w:eastAsia="Times New Roman" w:hAnsi="Arial" w:cs="Arial"/>
                            <w:color w:val="333333"/>
                            <w:sz w:val="21"/>
                            <w:szCs w:val="21"/>
                            <w:lang w:eastAsia="es-ES"/>
                          </w:rPr>
                        </w:pPr>
                        <w:r>
                          <w:rPr>
                            <w:lang w:eastAsia="es-ES"/>
                          </w:rPr>
                          <w:t xml:space="preserve">A las plazas de esta OEP ordinaria se unen las aprobadas mediante Acuerdo correspondiente al personal de la UNED (177 plazas), de las cuales 104 plazas son </w:t>
                        </w:r>
                        <w:r>
                          <w:rPr>
                            <w:lang w:eastAsia="es-ES"/>
                          </w:rPr>
                          <w:lastRenderedPageBreak/>
                          <w:t>para el Personal Docente e Investigador y 73 plazas para el Personal de Administración y Servicios.</w:t>
                        </w:r>
                      </w:p>
                      <w:p w:rsidR="00EB3C2B" w:rsidRDefault="00EB3C2B">
                        <w:pPr>
                          <w:spacing w:line="315" w:lineRule="exact"/>
                          <w:rPr>
                            <w:rFonts w:ascii="Arial" w:hAnsi="Arial" w:cs="Arial"/>
                            <w:color w:val="333333"/>
                            <w:sz w:val="21"/>
                            <w:szCs w:val="21"/>
                            <w:lang w:eastAsia="es-ES"/>
                          </w:rPr>
                        </w:pPr>
                      </w:p>
                      <w:p w:rsidR="00EB3C2B" w:rsidRDefault="00EB3C2B">
                        <w:pPr>
                          <w:shd w:val="clear" w:color="auto" w:fill="FFFFFF"/>
                          <w:spacing w:line="360" w:lineRule="atLeast"/>
                          <w:textAlignment w:val="baseline"/>
                          <w:rPr>
                            <w:rFonts w:ascii="Arial" w:hAnsi="Arial" w:cs="Arial"/>
                            <w:color w:val="558ED5"/>
                            <w:sz w:val="29"/>
                            <w:szCs w:val="29"/>
                          </w:rPr>
                        </w:pPr>
                        <w:r>
                          <w:rPr>
                            <w:rFonts w:ascii="Arial" w:hAnsi="Arial" w:cs="Arial"/>
                            <w:color w:val="558ED5"/>
                            <w:sz w:val="29"/>
                            <w:szCs w:val="29"/>
                          </w:rPr>
                          <w:t>Oferta de Estabilización</w:t>
                        </w:r>
                      </w:p>
                      <w:p w:rsidR="00EB3C2B" w:rsidRDefault="00EB3C2B">
                        <w:pPr>
                          <w:spacing w:line="315" w:lineRule="exact"/>
                          <w:jc w:val="both"/>
                          <w:rPr>
                            <w:rFonts w:ascii="Arial" w:hAnsi="Arial" w:cs="Arial"/>
                            <w:color w:val="333333"/>
                            <w:sz w:val="21"/>
                            <w:szCs w:val="21"/>
                            <w:lang w:eastAsia="es-ES"/>
                          </w:rPr>
                        </w:pPr>
                        <w:r>
                          <w:rPr>
                            <w:rFonts w:ascii="Arial" w:hAnsi="Arial" w:cs="Arial"/>
                            <w:color w:val="333333"/>
                            <w:sz w:val="21"/>
                            <w:szCs w:val="21"/>
                            <w:lang w:eastAsia="es-ES"/>
                          </w:rPr>
                          <w:t xml:space="preserve">El </w:t>
                        </w:r>
                        <w:proofErr w:type="spellStart"/>
                        <w:r>
                          <w:rPr>
                            <w:rFonts w:ascii="Arial" w:hAnsi="Arial" w:cs="Arial"/>
                            <w:color w:val="333333"/>
                            <w:sz w:val="21"/>
                            <w:szCs w:val="21"/>
                            <w:lang w:eastAsia="es-ES"/>
                          </w:rPr>
                          <w:t>Boletin</w:t>
                        </w:r>
                        <w:proofErr w:type="spellEnd"/>
                        <w:r>
                          <w:rPr>
                            <w:rFonts w:ascii="Arial" w:hAnsi="Arial" w:cs="Arial"/>
                            <w:color w:val="333333"/>
                            <w:sz w:val="21"/>
                            <w:szCs w:val="21"/>
                            <w:lang w:eastAsia="es-ES"/>
                          </w:rPr>
                          <w:t xml:space="preserve"> Oficial del Estado también publica hoy la oferta de estabilización de 10.636 plazas, de las que 4.691 corresponden a la Administración del Estado y 5.945, a la Administración de Justicia. Consulta este Real Decreto </w:t>
                        </w:r>
                        <w:hyperlink r:id="rId12" w:history="1">
                          <w:r>
                            <w:rPr>
                              <w:rStyle w:val="Hipervnculo"/>
                              <w:rFonts w:ascii="Arial" w:hAnsi="Arial" w:cs="Arial"/>
                              <w:sz w:val="21"/>
                              <w:szCs w:val="21"/>
                              <w:lang w:eastAsia="es-ES"/>
                            </w:rPr>
                            <w:t>en el siguiente enlace.</w:t>
                          </w:r>
                        </w:hyperlink>
                        <w:r>
                          <w:rPr>
                            <w:rFonts w:ascii="Arial" w:hAnsi="Arial" w:cs="Arial"/>
                            <w:color w:val="333333"/>
                            <w:sz w:val="21"/>
                            <w:szCs w:val="21"/>
                            <w:lang w:eastAsia="es-ES"/>
                          </w:rPr>
                          <w:t xml:space="preserve"> </w:t>
                        </w:r>
                      </w:p>
                      <w:p w:rsidR="00EB3C2B" w:rsidRDefault="00EB3C2B">
                        <w:pPr>
                          <w:spacing w:line="315" w:lineRule="exact"/>
                          <w:jc w:val="both"/>
                          <w:rPr>
                            <w:rFonts w:ascii="Arial" w:hAnsi="Arial" w:cs="Arial"/>
                            <w:color w:val="333333"/>
                            <w:sz w:val="21"/>
                            <w:szCs w:val="21"/>
                            <w:lang w:eastAsia="es-ES"/>
                          </w:rPr>
                        </w:pPr>
                      </w:p>
                      <w:p w:rsidR="00EB3C2B" w:rsidRDefault="00EB3C2B">
                        <w:pPr>
                          <w:spacing w:line="315" w:lineRule="exact"/>
                          <w:jc w:val="both"/>
                          <w:rPr>
                            <w:rFonts w:ascii="Arial" w:hAnsi="Arial" w:cs="Arial"/>
                            <w:color w:val="333333"/>
                            <w:sz w:val="21"/>
                            <w:szCs w:val="21"/>
                            <w:lang w:eastAsia="es-ES"/>
                          </w:rPr>
                        </w:pPr>
                        <w:r>
                          <w:rPr>
                            <w:rFonts w:ascii="Arial" w:hAnsi="Arial" w:cs="Arial"/>
                            <w:color w:val="333333"/>
                            <w:sz w:val="21"/>
                            <w:szCs w:val="21"/>
                            <w:lang w:eastAsia="es-ES"/>
                          </w:rPr>
                          <w:t xml:space="preserve">Esta Oferta supone el tercer y definitivo proceso de estabilización y completa los previstos en 2017 y 2018, dando cumplimiento al Acuerdo alcanzado con las organizaciones sindicales en la Mesa General de Negociación de la </w:t>
                        </w:r>
                        <w:proofErr w:type="spellStart"/>
                        <w:r>
                          <w:rPr>
                            <w:rFonts w:ascii="Arial" w:hAnsi="Arial" w:cs="Arial"/>
                            <w:color w:val="333333"/>
                            <w:sz w:val="21"/>
                            <w:szCs w:val="21"/>
                            <w:lang w:eastAsia="es-ES"/>
                          </w:rPr>
                          <w:t>Administraión</w:t>
                        </w:r>
                        <w:proofErr w:type="spellEnd"/>
                        <w:r>
                          <w:rPr>
                            <w:rFonts w:ascii="Arial" w:hAnsi="Arial" w:cs="Arial"/>
                            <w:color w:val="333333"/>
                            <w:sz w:val="21"/>
                            <w:szCs w:val="21"/>
                            <w:lang w:eastAsia="es-ES"/>
                          </w:rPr>
                          <w:t xml:space="preserve"> del Estado el pasado 5 de julio de 2021, sobre el Plan de Choque para reducir la temporalidad en las Administraciones Públicas.</w:t>
                        </w:r>
                      </w:p>
                      <w:p w:rsidR="00EB3C2B" w:rsidRDefault="00EB3C2B">
                        <w:pPr>
                          <w:spacing w:line="315" w:lineRule="exact"/>
                          <w:jc w:val="both"/>
                          <w:rPr>
                            <w:rFonts w:ascii="Arial" w:hAnsi="Arial" w:cs="Arial"/>
                            <w:color w:val="333333"/>
                            <w:sz w:val="21"/>
                            <w:szCs w:val="21"/>
                            <w:lang w:eastAsia="es-ES"/>
                          </w:rPr>
                        </w:pPr>
                      </w:p>
                      <w:p w:rsidR="00EB3C2B" w:rsidRDefault="00EB3C2B">
                        <w:pPr>
                          <w:spacing w:line="315" w:lineRule="exact"/>
                          <w:jc w:val="both"/>
                          <w:rPr>
                            <w:rFonts w:ascii="Arial" w:hAnsi="Arial" w:cs="Arial"/>
                            <w:color w:val="333333"/>
                            <w:sz w:val="21"/>
                            <w:szCs w:val="21"/>
                            <w:lang w:eastAsia="es-ES"/>
                          </w:rPr>
                        </w:pPr>
                        <w:r>
                          <w:rPr>
                            <w:rFonts w:ascii="Arial" w:hAnsi="Arial" w:cs="Arial"/>
                            <w:color w:val="333333"/>
                            <w:sz w:val="21"/>
                            <w:szCs w:val="21"/>
                            <w:lang w:eastAsia="es-ES"/>
                          </w:rPr>
                          <w:t xml:space="preserve">Con esta norma, desde la Administración General del Estado se da cumplimiento al compromiso adquirido con la Unión Europea en el marco del Plan de Recuperación, Transformación y Resiliencia y recogido en la Ley 20/2021, de 28 de diciembre, de medidas urgentes para la reducción de la temporalidad en el empleo público, por el que antes del 1 de junio todas las Administraciones Públicas tienen que publicar las ofertas de empleo derivadas de los procesos de estabilización de empleo temporal. </w:t>
                        </w:r>
                      </w:p>
                      <w:p w:rsidR="00EB3C2B" w:rsidRDefault="00EB3C2B">
                        <w:pPr>
                          <w:spacing w:line="315" w:lineRule="exact"/>
                          <w:rPr>
                            <w:rFonts w:ascii="Arial" w:hAnsi="Arial" w:cs="Arial"/>
                            <w:color w:val="333333"/>
                            <w:sz w:val="21"/>
                            <w:szCs w:val="21"/>
                            <w:lang w:eastAsia="es-ES"/>
                          </w:rPr>
                        </w:pPr>
                      </w:p>
                      <w:p w:rsidR="00EB3C2B" w:rsidRDefault="00EB3C2B">
                        <w:pPr>
                          <w:shd w:val="clear" w:color="auto" w:fill="FFFFFF"/>
                          <w:spacing w:line="360" w:lineRule="atLeast"/>
                          <w:textAlignment w:val="baseline"/>
                          <w:rPr>
                            <w:rFonts w:ascii="Arial" w:hAnsi="Arial" w:cs="Arial"/>
                            <w:color w:val="558ED5"/>
                            <w:sz w:val="29"/>
                            <w:szCs w:val="29"/>
                          </w:rPr>
                        </w:pPr>
                        <w:r>
                          <w:rPr>
                            <w:rFonts w:ascii="Arial" w:hAnsi="Arial" w:cs="Arial"/>
                            <w:color w:val="558ED5"/>
                            <w:sz w:val="29"/>
                            <w:szCs w:val="29"/>
                          </w:rPr>
                          <w:t xml:space="preserve">Participación del sector público institucional </w:t>
                        </w:r>
                      </w:p>
                      <w:p w:rsidR="00EB3C2B" w:rsidRDefault="00EB3C2B">
                        <w:pPr>
                          <w:spacing w:line="315" w:lineRule="exact"/>
                          <w:jc w:val="both"/>
                          <w:rPr>
                            <w:rFonts w:ascii="Arial" w:hAnsi="Arial" w:cs="Arial"/>
                            <w:color w:val="333333"/>
                            <w:sz w:val="21"/>
                            <w:szCs w:val="21"/>
                            <w:lang w:eastAsia="es-ES"/>
                          </w:rPr>
                        </w:pPr>
                        <w:r>
                          <w:rPr>
                            <w:rFonts w:ascii="Arial" w:hAnsi="Arial" w:cs="Arial"/>
                            <w:color w:val="333333"/>
                            <w:sz w:val="21"/>
                            <w:szCs w:val="21"/>
                            <w:lang w:eastAsia="es-ES"/>
                          </w:rPr>
                          <w:t>A estas dos ofertas, ordinaria y de estabilización, hay que añadir las 18.149 plazas correspondientes a las tasas de reposición ordinaria y de estabilización para las empresas y entidades del sector público institucional estatal tras el proceso de coordinación y seguimiento iniciado el pasado 23 de febrero.</w:t>
                        </w:r>
                      </w:p>
                      <w:p w:rsidR="00EB3C2B" w:rsidRDefault="00EB3C2B">
                        <w:pPr>
                          <w:spacing w:line="315" w:lineRule="exact"/>
                          <w:rPr>
                            <w:rFonts w:ascii="Arial" w:hAnsi="Arial" w:cs="Arial"/>
                            <w:color w:val="333333"/>
                            <w:sz w:val="21"/>
                            <w:szCs w:val="21"/>
                            <w:lang w:eastAsia="es-ES"/>
                          </w:rPr>
                        </w:pPr>
                      </w:p>
                      <w:p w:rsidR="00EB3C2B" w:rsidRDefault="00EB3C2B">
                        <w:pPr>
                          <w:spacing w:line="315" w:lineRule="exact"/>
                          <w:rPr>
                            <w:rFonts w:ascii="Arial" w:hAnsi="Arial" w:cs="Arial"/>
                            <w:color w:val="558ED5"/>
                            <w:sz w:val="29"/>
                            <w:szCs w:val="29"/>
                          </w:rPr>
                        </w:pPr>
                        <w:r>
                          <w:rPr>
                            <w:rFonts w:ascii="Arial" w:hAnsi="Arial" w:cs="Arial"/>
                            <w:color w:val="558ED5"/>
                            <w:sz w:val="29"/>
                            <w:szCs w:val="29"/>
                          </w:rPr>
                          <w:t>Novedades de la Oferta de Empleo Público 2022</w:t>
                        </w:r>
                      </w:p>
                      <w:p w:rsidR="00EB3C2B" w:rsidRDefault="00EB3C2B" w:rsidP="00487EA9">
                        <w:pPr>
                          <w:pStyle w:val="Prrafodelista"/>
                          <w:numPr>
                            <w:ilvl w:val="0"/>
                            <w:numId w:val="6"/>
                          </w:numPr>
                          <w:spacing w:line="315" w:lineRule="atLeast"/>
                          <w:jc w:val="both"/>
                          <w:rPr>
                            <w:rFonts w:ascii="Arial" w:hAnsi="Arial" w:cs="Arial"/>
                            <w:color w:val="333333"/>
                            <w:sz w:val="21"/>
                            <w:szCs w:val="21"/>
                            <w:lang w:eastAsia="es-ES"/>
                          </w:rPr>
                        </w:pPr>
                        <w:r>
                          <w:rPr>
                            <w:lang w:eastAsia="es-ES"/>
                          </w:rPr>
                          <w:t>Refleja las políticas más relevantes de la acción del Gobierno:</w:t>
                        </w:r>
                        <w:proofErr w:type="gramStart"/>
                        <w:r>
                          <w:rPr>
                            <w:lang w:eastAsia="es-ES"/>
                          </w:rPr>
                          <w:t>  El</w:t>
                        </w:r>
                        <w:proofErr w:type="gramEnd"/>
                        <w:r>
                          <w:rPr>
                            <w:lang w:eastAsia="es-ES"/>
                          </w:rPr>
                          <w:t xml:space="preserve"> 61,05% de la OEP se dirige a la cohesión social y servicios a la ciudadanía; economía verde y sostenible y la transformación digital e innovación.</w:t>
                        </w:r>
                      </w:p>
                      <w:p w:rsidR="00EB3C2B" w:rsidRDefault="00EB3C2B">
                        <w:pPr>
                          <w:pStyle w:val="Prrafodelista"/>
                          <w:spacing w:line="315" w:lineRule="atLeast"/>
                          <w:jc w:val="both"/>
                          <w:rPr>
                            <w:rFonts w:ascii="Arial" w:hAnsi="Arial" w:cs="Arial"/>
                            <w:color w:val="333333"/>
                            <w:sz w:val="21"/>
                            <w:szCs w:val="21"/>
                            <w:lang w:eastAsia="es-ES"/>
                          </w:rPr>
                        </w:pPr>
                      </w:p>
                      <w:p w:rsidR="00EB3C2B" w:rsidRDefault="00EB3C2B" w:rsidP="00487EA9">
                        <w:pPr>
                          <w:pStyle w:val="Prrafodelista"/>
                          <w:numPr>
                            <w:ilvl w:val="0"/>
                            <w:numId w:val="7"/>
                          </w:numPr>
                          <w:spacing w:line="315" w:lineRule="atLeast"/>
                          <w:jc w:val="both"/>
                          <w:rPr>
                            <w:rFonts w:ascii="Arial" w:eastAsia="Times New Roman" w:hAnsi="Arial" w:cs="Arial"/>
                            <w:color w:val="333333"/>
                            <w:sz w:val="21"/>
                            <w:szCs w:val="21"/>
                            <w:lang w:eastAsia="es-ES"/>
                          </w:rPr>
                        </w:pPr>
                        <w:r>
                          <w:rPr>
                            <w:lang w:eastAsia="es-ES"/>
                          </w:rPr>
                          <w:t xml:space="preserve">Aumenta el número de plazas STEM: Se incorporan 3.267 plazas destinadas a los sectores de la Ciencia, Tecnología, Ingeniería y Matemáticas, que supone un 19,42% de la oferta de libre acceso y un 3% más respecto a 2021. </w:t>
                        </w:r>
                      </w:p>
                      <w:p w:rsidR="00EB3C2B" w:rsidRDefault="00EB3C2B">
                        <w:pPr>
                          <w:pStyle w:val="Prrafodelista"/>
                          <w:spacing w:line="315" w:lineRule="atLeast"/>
                          <w:jc w:val="both"/>
                          <w:rPr>
                            <w:rFonts w:ascii="Arial" w:hAnsi="Arial" w:cs="Arial"/>
                            <w:color w:val="333333"/>
                            <w:sz w:val="21"/>
                            <w:szCs w:val="21"/>
                            <w:lang w:eastAsia="es-ES"/>
                          </w:rPr>
                        </w:pPr>
                      </w:p>
                      <w:p w:rsidR="00EB3C2B" w:rsidRDefault="00EB3C2B" w:rsidP="00487EA9">
                        <w:pPr>
                          <w:pStyle w:val="Prrafodelista"/>
                          <w:numPr>
                            <w:ilvl w:val="0"/>
                            <w:numId w:val="8"/>
                          </w:numPr>
                          <w:shd w:val="clear" w:color="auto" w:fill="FFFFFF"/>
                          <w:spacing w:line="315" w:lineRule="atLeast"/>
                          <w:jc w:val="both"/>
                          <w:textAlignment w:val="baseline"/>
                          <w:rPr>
                            <w:rFonts w:ascii="Arial" w:eastAsia="Times New Roman" w:hAnsi="Arial" w:cs="Arial"/>
                            <w:color w:val="333333"/>
                            <w:sz w:val="21"/>
                            <w:szCs w:val="21"/>
                            <w:lang w:eastAsia="es-ES"/>
                          </w:rPr>
                        </w:pPr>
                        <w:r>
                          <w:rPr>
                            <w:lang w:eastAsia="es-ES"/>
                          </w:rPr>
                          <w:t>Apuesta por la promoción interna</w:t>
                        </w:r>
                        <w:r>
                          <w:t xml:space="preserve">: Se prevén 12.142 plazas para este sistema de acceso con el objetivo de aprovechar e incentivar el talento existente en la </w:t>
                        </w:r>
                        <w:proofErr w:type="spellStart"/>
                        <w:r>
                          <w:t>Administracion</w:t>
                        </w:r>
                        <w:proofErr w:type="spellEnd"/>
                        <w:r>
                          <w:t xml:space="preserve">. </w:t>
                        </w:r>
                      </w:p>
                      <w:p w:rsidR="00EB3C2B" w:rsidRDefault="00EB3C2B">
                        <w:pPr>
                          <w:pStyle w:val="Prrafodelista"/>
                          <w:shd w:val="clear" w:color="auto" w:fill="FFFFFF"/>
                          <w:spacing w:line="315" w:lineRule="atLeast"/>
                          <w:jc w:val="both"/>
                          <w:textAlignment w:val="baseline"/>
                          <w:rPr>
                            <w:rFonts w:ascii="Arial" w:hAnsi="Arial" w:cs="Arial"/>
                            <w:color w:val="333333"/>
                            <w:sz w:val="21"/>
                            <w:szCs w:val="21"/>
                            <w:lang w:eastAsia="es-ES"/>
                          </w:rPr>
                        </w:pPr>
                      </w:p>
                      <w:p w:rsidR="00EB3C2B" w:rsidRDefault="00EB3C2B" w:rsidP="00487EA9">
                        <w:pPr>
                          <w:pStyle w:val="Prrafodelista"/>
                          <w:numPr>
                            <w:ilvl w:val="0"/>
                            <w:numId w:val="9"/>
                          </w:numPr>
                          <w:shd w:val="clear" w:color="auto" w:fill="FFFFFF"/>
                          <w:spacing w:line="315" w:lineRule="atLeast"/>
                          <w:jc w:val="both"/>
                          <w:textAlignment w:val="baseline"/>
                          <w:rPr>
                            <w:rFonts w:ascii="Arial" w:eastAsia="Times New Roman" w:hAnsi="Arial" w:cs="Arial"/>
                            <w:color w:val="333333"/>
                            <w:sz w:val="21"/>
                            <w:szCs w:val="21"/>
                            <w:lang w:eastAsia="es-ES"/>
                          </w:rPr>
                        </w:pPr>
                        <w:r>
                          <w:rPr>
                            <w:lang w:eastAsia="es-ES"/>
                          </w:rPr>
                          <w:t>Incorpora medidas para agilizar los procesos selectivos y democratizar el acceso al empleo público, sin merma de los principios de igualdad, mérito y capacidad.</w:t>
                        </w:r>
                      </w:p>
                      <w:p w:rsidR="00EB3C2B" w:rsidRDefault="00EB3C2B">
                        <w:pPr>
                          <w:spacing w:line="315" w:lineRule="exact"/>
                          <w:rPr>
                            <w:rFonts w:ascii="Arial" w:hAnsi="Arial" w:cs="Arial"/>
                            <w:color w:val="333333"/>
                            <w:sz w:val="21"/>
                            <w:szCs w:val="21"/>
                            <w:lang w:eastAsia="es-ES"/>
                          </w:rPr>
                        </w:pPr>
                      </w:p>
                    </w:tc>
                  </w:tr>
                </w:tbl>
                <w:p w:rsidR="00EB3C2B" w:rsidRDefault="00EB3C2B">
                  <w:pPr>
                    <w:rPr>
                      <w:rFonts w:ascii="Times New Roman" w:eastAsia="Times New Roman" w:hAnsi="Times New Roman" w:cs="Times New Roman"/>
                      <w:sz w:val="20"/>
                      <w:szCs w:val="20"/>
                      <w:lang w:eastAsia="es-ES"/>
                    </w:rPr>
                  </w:pPr>
                </w:p>
              </w:tc>
            </w:tr>
          </w:tbl>
          <w:p w:rsidR="00EB3C2B" w:rsidRDefault="00EB3C2B">
            <w:pPr>
              <w:rPr>
                <w:rFonts w:ascii="Times New Roman" w:eastAsia="Times New Roman" w:hAnsi="Times New Roman" w:cs="Times New Roman"/>
                <w:sz w:val="20"/>
                <w:szCs w:val="20"/>
                <w:lang w:eastAsia="es-ES"/>
              </w:rPr>
            </w:pPr>
          </w:p>
        </w:tc>
      </w:tr>
    </w:tbl>
    <w:p w:rsidR="00C34765" w:rsidRDefault="00EB3C2B">
      <w:bookmarkStart w:id="0" w:name="_GoBack"/>
      <w:bookmarkEnd w:id="0"/>
      <w:r>
        <w:rPr>
          <w:noProof/>
          <w:lang w:eastAsia="es-ES"/>
        </w:rPr>
        <w:lastRenderedPageBreak/>
        <w:drawing>
          <wp:inline distT="0" distB="0" distL="0" distR="0" wp14:anchorId="43824ECA" wp14:editId="79157179">
            <wp:extent cx="5358765" cy="1095375"/>
            <wp:effectExtent l="0" t="0" r="0" b="9525"/>
            <wp:docPr id="3" name="Imagen 3" descr="Imagen que contiene refrigerador&#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Imagen 3" descr="Imagen que contiene refrigerador&#10;&#10;Descripción generada automáticament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8765" cy="1095375"/>
                    </a:xfrm>
                    <a:prstGeom prst="rect">
                      <a:avLst/>
                    </a:prstGeom>
                    <a:noFill/>
                    <a:ln>
                      <a:noFill/>
                    </a:ln>
                  </pic:spPr>
                </pic:pic>
              </a:graphicData>
            </a:graphic>
          </wp:inline>
        </w:drawing>
      </w:r>
    </w:p>
    <w:sectPr w:rsidR="00C347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E1"/>
    <w:multiLevelType w:val="multilevel"/>
    <w:tmpl w:val="D0C6E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ECA0EB4"/>
    <w:multiLevelType w:val="multilevel"/>
    <w:tmpl w:val="A91AE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D14E69"/>
    <w:multiLevelType w:val="multilevel"/>
    <w:tmpl w:val="BE682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FAF2F71"/>
    <w:multiLevelType w:val="multilevel"/>
    <w:tmpl w:val="7BC80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B2A19EE"/>
    <w:multiLevelType w:val="multilevel"/>
    <w:tmpl w:val="045EF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2622806"/>
    <w:multiLevelType w:val="multilevel"/>
    <w:tmpl w:val="725C9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2BD62E2"/>
    <w:multiLevelType w:val="multilevel"/>
    <w:tmpl w:val="AC78F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F637F4"/>
    <w:multiLevelType w:val="multilevel"/>
    <w:tmpl w:val="952EA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A104E45"/>
    <w:multiLevelType w:val="multilevel"/>
    <w:tmpl w:val="FAAEA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2B"/>
    <w:rsid w:val="005B33DC"/>
    <w:rsid w:val="00C34765"/>
    <w:rsid w:val="00EB3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2B"/>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3C2B"/>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C2B"/>
    <w:rPr>
      <w:rFonts w:ascii="Tahoma" w:hAnsi="Tahoma" w:cs="Tahoma"/>
      <w:sz w:val="16"/>
      <w:szCs w:val="16"/>
    </w:rPr>
  </w:style>
  <w:style w:type="character" w:styleId="Hipervnculo">
    <w:name w:val="Hyperlink"/>
    <w:basedOn w:val="Fuentedeprrafopredeter"/>
    <w:uiPriority w:val="99"/>
    <w:semiHidden/>
    <w:unhideWhenUsed/>
    <w:rsid w:val="00EB3C2B"/>
    <w:rPr>
      <w:color w:val="0000FF"/>
      <w:u w:val="single"/>
    </w:rPr>
  </w:style>
  <w:style w:type="character" w:customStyle="1" w:styleId="PrrafodelistaCar">
    <w:name w:val="Párrafo de lista Car"/>
    <w:aliases w:val="Normal N3 Car,Arial 8 Car,Bullet Car,Párrafo de lista11 Car,List Paragraph1 Car,Párrafo de lista1 Car,Dot pt Car,F5 List Paragraph Car,No Spacing1 Car,List Paragraph Char Char Char Car,Indicator Text Car,Numbered Para 1 Car"/>
    <w:basedOn w:val="Fuentedeprrafopredeter"/>
    <w:link w:val="Prrafodelista"/>
    <w:uiPriority w:val="34"/>
    <w:locked/>
    <w:rsid w:val="00EB3C2B"/>
    <w:rPr>
      <w:rFonts w:ascii="Calibri" w:hAnsi="Calibri" w:cs="Calibri"/>
    </w:rPr>
  </w:style>
  <w:style w:type="paragraph" w:styleId="Prrafodelista">
    <w:name w:val="List Paragraph"/>
    <w:aliases w:val="Normal N3,Arial 8,Bullet,Párrafo de lista11,List Paragraph1,Párrafo de lista1,Dot pt,F5 List Paragraph,No Spacing1,List Paragraph Char Char Char,Indicator Text,Colorful List - Accent 11,Numbered Para 1,Bullet 1,Bullet Points,- Bullets"/>
    <w:basedOn w:val="Normal"/>
    <w:link w:val="PrrafodelistaCar"/>
    <w:uiPriority w:val="34"/>
    <w:qFormat/>
    <w:rsid w:val="00EB3C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2B"/>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3C2B"/>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C2B"/>
    <w:rPr>
      <w:rFonts w:ascii="Tahoma" w:hAnsi="Tahoma" w:cs="Tahoma"/>
      <w:sz w:val="16"/>
      <w:szCs w:val="16"/>
    </w:rPr>
  </w:style>
  <w:style w:type="character" w:styleId="Hipervnculo">
    <w:name w:val="Hyperlink"/>
    <w:basedOn w:val="Fuentedeprrafopredeter"/>
    <w:uiPriority w:val="99"/>
    <w:semiHidden/>
    <w:unhideWhenUsed/>
    <w:rsid w:val="00EB3C2B"/>
    <w:rPr>
      <w:color w:val="0000FF"/>
      <w:u w:val="single"/>
    </w:rPr>
  </w:style>
  <w:style w:type="character" w:customStyle="1" w:styleId="PrrafodelistaCar">
    <w:name w:val="Párrafo de lista Car"/>
    <w:aliases w:val="Normal N3 Car,Arial 8 Car,Bullet Car,Párrafo de lista11 Car,List Paragraph1 Car,Párrafo de lista1 Car,Dot pt Car,F5 List Paragraph Car,No Spacing1 Car,List Paragraph Char Char Char Car,Indicator Text Car,Numbered Para 1 Car"/>
    <w:basedOn w:val="Fuentedeprrafopredeter"/>
    <w:link w:val="Prrafodelista"/>
    <w:uiPriority w:val="34"/>
    <w:locked/>
    <w:rsid w:val="00EB3C2B"/>
    <w:rPr>
      <w:rFonts w:ascii="Calibri" w:hAnsi="Calibri" w:cs="Calibri"/>
    </w:rPr>
  </w:style>
  <w:style w:type="paragraph" w:styleId="Prrafodelista">
    <w:name w:val="List Paragraph"/>
    <w:aliases w:val="Normal N3,Arial 8,Bullet,Párrafo de lista11,List Paragraph1,Párrafo de lista1,Dot pt,F5 List Paragraph,No Spacing1,List Paragraph Char Char Char,Indicator Text,Colorful List - Accent 11,Numbered Para 1,Bullet 1,Bullet Points,- Bullets"/>
    <w:basedOn w:val="Normal"/>
    <w:link w:val="PrrafodelistaCar"/>
    <w:uiPriority w:val="34"/>
    <w:qFormat/>
    <w:rsid w:val="00EB3C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2/05/25/pdfs/BOE-A-2022-854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6.png@01D86F6D.9A6F3F50" TargetMode="External"/><Relationship Id="rId12" Type="http://schemas.openxmlformats.org/officeDocument/2006/relationships/hyperlink" Target="https://www.boe.es/boe/dias/2022/05/25/pdfs/BOE-A-2022-855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oe.es/boe/dias/2022/05/25/pdfs/BOE-A-2022-8545.pdf" TargetMode="External"/><Relationship Id="rId5" Type="http://schemas.openxmlformats.org/officeDocument/2006/relationships/webSettings" Target="webSettings.xml"/><Relationship Id="rId10" Type="http://schemas.openxmlformats.org/officeDocument/2006/relationships/hyperlink" Target="https://www.boe.es/boe/dias/2022/05/25/pdfs/BOE-A-2022-8546.pdf" TargetMode="External"/><Relationship Id="rId4" Type="http://schemas.openxmlformats.org/officeDocument/2006/relationships/settings" Target="settings.xml"/><Relationship Id="rId9" Type="http://schemas.openxmlformats.org/officeDocument/2006/relationships/hyperlink" Target="https://www.mptfp.gob.es/dam/es/portal/funcionpublica/funcion-publica/dialogo-social/mesas-negociacion/mesa-general-de-negociacion-de-la-administracion-general-del-estado-36.3-TREBEP/Acuerdo_de_23_de_mayo_de_2022_de_la_MGNAGE_Art_36_3_TREBEP_OEP_2022.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3958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M.SONIA POSTIGO IMAZ</dc:creator>
  <cp:lastModifiedBy>M.SONIA POSTIGO IMAZ</cp:lastModifiedBy>
  <cp:revision>2</cp:revision>
  <dcterms:created xsi:type="dcterms:W3CDTF">2022-05-26T15:49:00Z</dcterms:created>
  <dcterms:modified xsi:type="dcterms:W3CDTF">2022-05-26T15:49:00Z</dcterms:modified>
</cp:coreProperties>
</file>